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A1" w:rsidRDefault="002D7F4F">
      <w:pPr>
        <w:pStyle w:val="Standard"/>
        <w:spacing w:befor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-78108</wp:posOffset>
            </wp:positionH>
            <wp:positionV relativeFrom="page">
              <wp:posOffset>53336</wp:posOffset>
            </wp:positionV>
            <wp:extent cx="2933696" cy="937259"/>
            <wp:effectExtent l="0" t="0" r="4" b="0"/>
            <wp:wrapSquare wrapText="bothSides"/>
            <wp:docPr id="6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696" cy="9372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016A1" w:rsidRDefault="002D7F4F">
      <w:pPr>
        <w:pStyle w:val="Standard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0" w:color="000001"/>
        </w:pBdr>
        <w:shd w:val="clear" w:color="auto" w:fill="C0C0C0"/>
        <w:spacing w:before="0" w:after="200" w:line="276" w:lineRule="auto"/>
        <w:jc w:val="center"/>
      </w:pPr>
      <w:r>
        <w:rPr>
          <w:rFonts w:ascii="Arial" w:eastAsia="MS Mincho" w:hAnsi="Arial" w:cs="Arial"/>
          <w:b/>
          <w:bCs/>
          <w:sz w:val="22"/>
          <w:szCs w:val="22"/>
        </w:rPr>
        <w:t>ALLEGATO 4 – TRATTAMENTO DEI DATI PERSONALI E ACCESSO AGLI ATTI</w:t>
      </w:r>
    </w:p>
    <w:p w:rsidR="003016A1" w:rsidRDefault="003016A1">
      <w:pPr>
        <w:pStyle w:val="Standard"/>
        <w:jc w:val="center"/>
        <w:rPr>
          <w:b/>
          <w:sz w:val="24"/>
        </w:rPr>
      </w:pPr>
    </w:p>
    <w:p w:rsidR="003016A1" w:rsidRDefault="002D7F4F">
      <w:pPr>
        <w:pStyle w:val="Standard"/>
        <w:jc w:val="center"/>
      </w:pPr>
      <w:r>
        <w:rPr>
          <w:b/>
          <w:sz w:val="24"/>
        </w:rPr>
        <w:t>COD.</w:t>
      </w:r>
      <w:r>
        <w:rPr>
          <w:rFonts w:cs="Calibri"/>
          <w:b/>
          <w:bCs/>
          <w:i/>
          <w:sz w:val="44"/>
          <w:szCs w:val="44"/>
        </w:rPr>
        <w:t xml:space="preserve"> </w:t>
      </w:r>
      <w:r>
        <w:rPr>
          <w:b/>
          <w:bCs/>
          <w:i/>
          <w:sz w:val="24"/>
        </w:rPr>
        <w:t>Marittimo 2021</w:t>
      </w:r>
    </w:p>
    <w:p w:rsidR="003016A1" w:rsidRDefault="002D7F4F">
      <w:pPr>
        <w:pStyle w:val="Standard"/>
      </w:pPr>
      <w:r>
        <w:rPr>
          <w:b/>
          <w:bCs/>
          <w:i/>
          <w:sz w:val="22"/>
          <w:szCs w:val="22"/>
        </w:rPr>
        <w:t xml:space="preserve">PROCEDURA COMPARATIVA PER L’AFFIDAMENTO DI UN INCARICO A UN ESPERTO IN ATTIVITÀ DI SUPPORTO ALLA </w:t>
      </w:r>
      <w:r>
        <w:rPr>
          <w:b/>
          <w:bCs/>
          <w:i/>
          <w:sz w:val="22"/>
          <w:szCs w:val="22"/>
        </w:rPr>
        <w:t xml:space="preserve">DEFINIZIONE DI UN PIANO DI BUSINESS CONGIUNTO NELLE AREE DELLA GREEN &amp; BLUE ECONOMY, PER IL PROGETTO STEp-IN-UP </w:t>
      </w:r>
      <w:r>
        <w:rPr>
          <w:b/>
          <w:bCs/>
          <w:i/>
          <w:color w:val="auto"/>
          <w:sz w:val="22"/>
          <w:szCs w:val="22"/>
        </w:rPr>
        <w:t>DI FONDAZIONE ISI SRL</w:t>
      </w:r>
      <w:r>
        <w:rPr>
          <w:b/>
          <w:bCs/>
          <w:i/>
          <w:sz w:val="22"/>
          <w:szCs w:val="22"/>
        </w:rPr>
        <w:t xml:space="preserve"> (PROGRAMMA MARITTIMO ITALIA-FRANCIA 2014-2020)</w:t>
      </w:r>
    </w:p>
    <w:p w:rsidR="003016A1" w:rsidRDefault="003016A1">
      <w:pPr>
        <w:pStyle w:val="Standard"/>
        <w:rPr>
          <w:b/>
          <w:bCs/>
          <w:i/>
          <w:sz w:val="22"/>
          <w:szCs w:val="22"/>
        </w:rPr>
      </w:pPr>
    </w:p>
    <w:p w:rsidR="003016A1" w:rsidRDefault="002D7F4F">
      <w:pPr>
        <w:pStyle w:val="Standard"/>
        <w:jc w:val="center"/>
      </w:pPr>
      <w:r>
        <w:rPr>
          <w:rFonts w:ascii="Arial" w:hAnsi="Arial" w:cs="Arial"/>
          <w:b/>
          <w:bCs/>
          <w:i/>
          <w:sz w:val="18"/>
          <w:szCs w:val="18"/>
        </w:rPr>
        <w:t>Privacy Policy per gli utenti/partecipanti</w:t>
      </w:r>
    </w:p>
    <w:p w:rsidR="003016A1" w:rsidRDefault="002D7F4F">
      <w:pPr>
        <w:pStyle w:val="Standard"/>
        <w:jc w:val="center"/>
      </w:pPr>
      <w:r>
        <w:rPr>
          <w:rFonts w:ascii="Arial" w:hAnsi="Arial" w:cs="Arial"/>
          <w:b/>
          <w:bCs/>
          <w:i/>
          <w:sz w:val="18"/>
          <w:szCs w:val="18"/>
        </w:rPr>
        <w:t>(“Informativa”)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1 Premessa e da</w:t>
      </w:r>
      <w:r>
        <w:rPr>
          <w:rFonts w:ascii="Arial" w:hAnsi="Arial" w:cs="Arial"/>
          <w:b/>
          <w:bCs/>
          <w:i/>
          <w:sz w:val="18"/>
          <w:szCs w:val="18"/>
        </w:rPr>
        <w:t>ti di contatto del Titolare del trattamento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La presente Informativa è specifica per i soggetti che partecipano alle attività del progetto “Step In Up” (“Progetto”) e alle relative selezioni sia per l'ammissione ai servizi da esso previsti sia per l'affidam</w:t>
      </w:r>
      <w:r>
        <w:rPr>
          <w:rFonts w:ascii="Arial" w:hAnsi="Arial" w:cs="Arial"/>
          <w:bCs/>
          <w:sz w:val="18"/>
          <w:szCs w:val="18"/>
        </w:rPr>
        <w:t>ento di incarichi di prestazione di servizi nell'ambito del “Progetto”. Il “Progetto” è gestito da un partenariato composto da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 xml:space="preserve">Lucca Innovazione e Tecnologia S.r.l., </w:t>
      </w:r>
      <w:r>
        <w:rPr>
          <w:rFonts w:ascii="Arial" w:hAnsi="Arial" w:cs="Arial"/>
          <w:bCs/>
          <w:sz w:val="18"/>
          <w:szCs w:val="18"/>
        </w:rPr>
        <w:t>con sede legale in Lucca (55100), Corte Campana 10, Codice Fiscale e Partita Iva 020826504</w:t>
      </w:r>
      <w:r>
        <w:rPr>
          <w:rFonts w:ascii="Arial" w:hAnsi="Arial" w:cs="Arial"/>
          <w:bCs/>
          <w:sz w:val="18"/>
          <w:szCs w:val="18"/>
        </w:rPr>
        <w:t>62, in persona dell’Amministratore Unico e legale rappresentante, Dottor Gianluigi Guidi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 xml:space="preserve">Fondazione di partecipazione per l’Innovazione e lo Sviluppo Imprenditoriale, </w:t>
      </w:r>
      <w:r>
        <w:rPr>
          <w:rFonts w:ascii="Arial" w:hAnsi="Arial" w:cs="Arial"/>
          <w:bCs/>
          <w:sz w:val="18"/>
          <w:szCs w:val="18"/>
        </w:rPr>
        <w:t xml:space="preserve">Via Benedetto Croce 62, Pisa Codice Fiscale/ Partiva IVA 02247870500 - rappresentata dal </w:t>
      </w:r>
      <w:r>
        <w:rPr>
          <w:rFonts w:ascii="Arial" w:hAnsi="Arial" w:cs="Arial"/>
          <w:bCs/>
          <w:sz w:val="18"/>
          <w:szCs w:val="18"/>
        </w:rPr>
        <w:t>Signor Valter Tamburini, in qualità di Presidente,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Chambre de Commerce et d’Industrie Nice Côte d’Azur</w:t>
      </w:r>
      <w:r>
        <w:rPr>
          <w:rFonts w:ascii="Arial" w:hAnsi="Arial" w:cs="Arial"/>
          <w:bCs/>
          <w:sz w:val="18"/>
          <w:szCs w:val="18"/>
        </w:rPr>
        <w:t>, 20 Boulevard Carabacel 06005, Nice Codice Fiscale/Partiva IVA FR64180600017 - rappresentata dal Signor Jean Pierre Savarino, in qualità di Presidente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 xml:space="preserve">Sardegna Ricerche, </w:t>
      </w:r>
      <w:r>
        <w:rPr>
          <w:rFonts w:ascii="Arial" w:hAnsi="Arial" w:cs="Arial"/>
          <w:bCs/>
          <w:sz w:val="18"/>
          <w:szCs w:val="18"/>
        </w:rPr>
        <w:t xml:space="preserve">Via Palabanda 9, Cagliari Codice Fiscale 92024600923 e Partiva IVA 01930910920 - rappresentata dalla </w:t>
      </w:r>
      <w:bookmarkStart w:id="1" w:name="__DdeLink__3907_1079110390"/>
      <w:r>
        <w:rPr>
          <w:rFonts w:ascii="Arial" w:hAnsi="Arial" w:cs="Arial"/>
          <w:bCs/>
          <w:sz w:val="18"/>
          <w:szCs w:val="18"/>
        </w:rPr>
        <w:t>Dott.ssa Maria Assunta Serra, in qualità di Commissario Straordinario</w:t>
      </w:r>
      <w:bookmarkEnd w:id="1"/>
    </w:p>
    <w:p w:rsidR="003016A1" w:rsidRDefault="003016A1">
      <w:pPr>
        <w:pStyle w:val="Standard"/>
        <w:rPr>
          <w:rFonts w:ascii="Arial" w:hAnsi="Arial" w:cs="Arial"/>
          <w:b/>
          <w:bCs/>
          <w:i/>
          <w:sz w:val="18"/>
          <w:szCs w:val="18"/>
        </w:rPr>
      </w:pP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di seguito congiuntamente indicati come “Partner”</w:t>
      </w:r>
    </w:p>
    <w:p w:rsidR="003016A1" w:rsidRDefault="003016A1">
      <w:pPr>
        <w:pStyle w:val="Standard"/>
        <w:rPr>
          <w:rFonts w:ascii="Arial" w:hAnsi="Arial" w:cs="Arial"/>
          <w:b/>
          <w:bCs/>
          <w:i/>
          <w:sz w:val="18"/>
          <w:szCs w:val="18"/>
        </w:rPr>
      </w:pP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 xml:space="preserve">2 Titolare e </w:t>
      </w:r>
      <w:r>
        <w:rPr>
          <w:rFonts w:ascii="Arial" w:hAnsi="Arial" w:cs="Arial"/>
          <w:b/>
          <w:bCs/>
          <w:i/>
          <w:sz w:val="18"/>
          <w:szCs w:val="18"/>
        </w:rPr>
        <w:t>interessati del trattamento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L’Informativa è resa dai “Partner”, quali Contitolari del trattamento, ai partecipanti alle attività di erogazione di servizi previsti in “Progetto” per finalità di trasparenza e tutela dei relativi dati personali trattati, in c</w:t>
      </w:r>
      <w:r>
        <w:rPr>
          <w:rFonts w:ascii="Arial" w:hAnsi="Arial" w:cs="Arial"/>
          <w:bCs/>
          <w:sz w:val="18"/>
          <w:szCs w:val="18"/>
        </w:rPr>
        <w:t>onformità (a) al Regolamento (UE) 2016/679 relativo alla protezione delle persone fisiche con riguardo al trattamento dei dati personali, nonché alla libera circolazione di tali dati e che abroga la direttiva 95/46/CE (“GDPR”) nonché (b) alla normativa naz</w:t>
      </w:r>
      <w:r>
        <w:rPr>
          <w:rFonts w:ascii="Arial" w:hAnsi="Arial" w:cs="Arial"/>
          <w:bCs/>
          <w:sz w:val="18"/>
          <w:szCs w:val="18"/>
        </w:rPr>
        <w:t>ionale italiana applicabile in materia di protezione dei dati personali costituita dal Decreto Legislativo 196/2003 e dal Decreto Legislativo 101/2018 (“Leggi Nazionali sulla Protezione dei Dati”).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 xml:space="preserve">Gli interessati al trattamento, che si registrano sui </w:t>
      </w:r>
      <w:r>
        <w:rPr>
          <w:rFonts w:ascii="Arial" w:hAnsi="Arial" w:cs="Arial"/>
          <w:bCs/>
          <w:iCs/>
          <w:sz w:val="18"/>
          <w:szCs w:val="18"/>
        </w:rPr>
        <w:t>form</w:t>
      </w:r>
      <w:r>
        <w:rPr>
          <w:rFonts w:ascii="Arial" w:hAnsi="Arial" w:cs="Arial"/>
          <w:bCs/>
          <w:sz w:val="18"/>
          <w:szCs w:val="18"/>
        </w:rPr>
        <w:t xml:space="preserve"> on-line predisposti dai “Partner” o mediante fornitori di servizi on line e gestione eventi, sono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a) persone fisiche, referenti di start up e imprese, i quali forniscono i loro dati personali per usufruire dei Servizi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b) persone fisiche, in qualità di lib</w:t>
      </w:r>
      <w:r>
        <w:rPr>
          <w:rFonts w:ascii="Arial" w:hAnsi="Arial" w:cs="Arial"/>
          <w:bCs/>
          <w:sz w:val="18"/>
          <w:szCs w:val="18"/>
        </w:rPr>
        <w:t>eri professionisti o referenti di società di consulenza i quali forniscono i loro dati personali per partecipare alle selezioni per l'affidamento di incarichi finalizzati all'erogazione dei servizi previsti dal "Progetto" per conto dei “Partner”</w:t>
      </w:r>
    </w:p>
    <w:p w:rsidR="003016A1" w:rsidRDefault="003016A1">
      <w:pPr>
        <w:pStyle w:val="Standard"/>
        <w:rPr>
          <w:rFonts w:ascii="Arial" w:hAnsi="Arial" w:cs="Arial"/>
          <w:b/>
          <w:bCs/>
          <w:i/>
          <w:sz w:val="18"/>
          <w:szCs w:val="18"/>
        </w:rPr>
      </w:pP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3 Avverte</w:t>
      </w:r>
      <w:r>
        <w:rPr>
          <w:rFonts w:ascii="Arial" w:hAnsi="Arial" w:cs="Arial"/>
          <w:b/>
          <w:bCs/>
          <w:i/>
          <w:sz w:val="18"/>
          <w:szCs w:val="18"/>
        </w:rPr>
        <w:t>nza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I “Partner”, svolgono attività di erogazione di servizi per lo sviluppo e l'innovazione in ambito tecnologico a favore di imprese e start up innovative.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Per il trattamento dei dati personali che ciascun Partner svolge ad ampio raggio nell’ambito del pr</w:t>
      </w:r>
      <w:r>
        <w:rPr>
          <w:rFonts w:ascii="Arial" w:hAnsi="Arial" w:cs="Arial"/>
          <w:bCs/>
          <w:sz w:val="18"/>
          <w:szCs w:val="18"/>
        </w:rPr>
        <w:t>oprio oggetto sociale si rinvia all’informativa completa pubblicata sul sito web di ciascun “Partner”.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4 Autorizzati interni del trattamento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lastRenderedPageBreak/>
        <w:t>I dati sono trattati da soggetti autorizzati al trattamento, opportunamente istruiti, coinvolti nelle relative atti</w:t>
      </w:r>
      <w:r>
        <w:rPr>
          <w:rFonts w:ascii="Arial" w:hAnsi="Arial" w:cs="Arial"/>
          <w:bCs/>
          <w:sz w:val="18"/>
          <w:szCs w:val="18"/>
        </w:rPr>
        <w:t>vità di trattamento.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5 Responsabili esterni / titolari autonomi e co-titolari - Destinatari del trattamento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Su incarico dei “Partner” (e previo specifico accordo) consulenti, enti, imprese e società forniscono servizi il cui svolgimento comporta operazioni</w:t>
      </w:r>
      <w:r>
        <w:rPr>
          <w:rFonts w:ascii="Arial" w:hAnsi="Arial" w:cs="Arial"/>
          <w:bCs/>
          <w:sz w:val="18"/>
          <w:szCs w:val="18"/>
        </w:rPr>
        <w:t xml:space="preserve"> di trattamento di dati. In particolare, si tratta di fornitori di servizi on line e gestione eventi (quali, ad esempio Zoom© e/o Google Moduli©).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Oltre ai predetti soggetti, i dati possono essere comunicati a soggetti terzi che agiscono quali titolari aut</w:t>
      </w:r>
      <w:r>
        <w:rPr>
          <w:rFonts w:ascii="Arial" w:hAnsi="Arial" w:cs="Arial"/>
          <w:bCs/>
          <w:sz w:val="18"/>
          <w:szCs w:val="18"/>
        </w:rPr>
        <w:t>onomi del trattamento, tra cui, a titolo esemplificativo, enti/soggetti pubblici.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La Società fornisce informazioni specifiche in merito ai destinatari su richiesta dell’interessato.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6 Dati personali trattati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I dati trattati consistono in dati comuni, spess</w:t>
      </w:r>
      <w:r>
        <w:rPr>
          <w:rFonts w:ascii="Arial" w:hAnsi="Arial" w:cs="Arial"/>
          <w:bCs/>
          <w:sz w:val="18"/>
          <w:szCs w:val="18"/>
        </w:rPr>
        <w:t>o solo identificativi, quali ad esempio, nome e cognome degli interessati, azienda di appartenenza, partita IVA, domicilio legale e fiscale, recapiti completi, fisici e telefonici (anche cellulare), fax, PEC ed email, CAP e, in generale, informazioni neces</w:t>
      </w:r>
      <w:r>
        <w:rPr>
          <w:rFonts w:ascii="Arial" w:hAnsi="Arial" w:cs="Arial"/>
          <w:bCs/>
          <w:sz w:val="18"/>
          <w:szCs w:val="18"/>
        </w:rPr>
        <w:t>sarie per consentire la registrazione sulla Piattaforma o la partecipazione all’evento.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Nonostante i “Partner”, ai fini dell’erogazione dei Servizi, non richiedano il caricamento di immagini da parte degli interessati, tale possibilità è comunque tecnicame</w:t>
      </w:r>
      <w:r>
        <w:rPr>
          <w:rFonts w:ascii="Arial" w:hAnsi="Arial" w:cs="Arial"/>
          <w:bCs/>
          <w:sz w:val="18"/>
          <w:szCs w:val="18"/>
        </w:rPr>
        <w:t>nte prevista, pertanto i “Partner” potranno trattare anche le immagini spontaneamente fornite dai soggetti interessati.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7 Finalità del trattamento e relativa base giuridica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I Partner effettuano il trattamento dei dati per le finalità e le relative basi giu</w:t>
      </w:r>
      <w:r>
        <w:rPr>
          <w:rFonts w:ascii="Arial" w:hAnsi="Arial" w:cs="Arial"/>
          <w:bCs/>
          <w:sz w:val="18"/>
          <w:szCs w:val="18"/>
        </w:rPr>
        <w:t>ridiche di seguito previste: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a. consentire agli interessati di effettuare la registrazione sulla modulistica on-line per partecipare alle selezioni per essere ammessa ad usufruire dei Servizi previsti dal "Progetto" o essere ammesso a fornire servizi di as</w:t>
      </w:r>
      <w:r>
        <w:rPr>
          <w:rFonts w:ascii="Arial" w:hAnsi="Arial" w:cs="Arial"/>
          <w:bCs/>
          <w:sz w:val="18"/>
          <w:szCs w:val="18"/>
        </w:rPr>
        <w:t>sistenza. Il trattamento è necessario per l’esecuzione del contratto e per riscontrare richieste dell’interessato di natura precontrattuale.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b. inviare comunicazioni a carattere informativo, commerciale e promozionale, ivi compresa la newsletter agli indir</w:t>
      </w:r>
      <w:r>
        <w:rPr>
          <w:rFonts w:ascii="Arial" w:hAnsi="Arial" w:cs="Arial"/>
          <w:bCs/>
          <w:sz w:val="18"/>
          <w:szCs w:val="18"/>
        </w:rPr>
        <w:t>izzi email forniti dagli interessati, una volta che questi abbiano espresso esplicito consenso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Il trattamento si basa alternativamente: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- sul consenso, sino alla revoca (Opt-out).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- sul legittimo interesse della Società ad effettuare soft spam nei soli cas</w:t>
      </w:r>
      <w:r>
        <w:rPr>
          <w:rFonts w:ascii="Arial" w:hAnsi="Arial" w:cs="Arial"/>
          <w:bCs/>
          <w:sz w:val="18"/>
          <w:szCs w:val="18"/>
        </w:rPr>
        <w:t>i in cui sia avvenuta la registrazione da parte degli interessati.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 xml:space="preserve">c. consentire agli interessati di effettuare la registrazione sulla modulistica on-line per partecipare alle selezioni per l'affidamento di incarichi per l'erogazione di servizi di </w:t>
      </w:r>
      <w:r>
        <w:rPr>
          <w:rFonts w:ascii="Arial" w:hAnsi="Arial" w:cs="Arial"/>
          <w:bCs/>
          <w:sz w:val="18"/>
          <w:szCs w:val="18"/>
        </w:rPr>
        <w:t>assistenza per conto dei “Partner”. Il trattamento è necessario per l’esecuzione del contratto e per riscontrare richieste dell’interessato di natura precontrattuale.</w:t>
      </w:r>
    </w:p>
    <w:p w:rsidR="003016A1" w:rsidRDefault="003016A1">
      <w:pPr>
        <w:pStyle w:val="Standard"/>
        <w:rPr>
          <w:rFonts w:ascii="Arial" w:hAnsi="Arial" w:cs="Arial"/>
          <w:b/>
          <w:bCs/>
          <w:i/>
          <w:sz w:val="18"/>
          <w:szCs w:val="18"/>
        </w:rPr>
      </w:pP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8 Tempo di conservazione dei dati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I dati degli interessati che: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 xml:space="preserve">- si registrano sui </w:t>
      </w:r>
      <w:r>
        <w:rPr>
          <w:rFonts w:ascii="Arial" w:hAnsi="Arial" w:cs="Arial"/>
          <w:bCs/>
          <w:iCs/>
          <w:sz w:val="18"/>
          <w:szCs w:val="18"/>
        </w:rPr>
        <w:t>form</w:t>
      </w:r>
      <w:r>
        <w:rPr>
          <w:rFonts w:ascii="Arial" w:hAnsi="Arial" w:cs="Arial"/>
          <w:bCs/>
          <w:sz w:val="18"/>
          <w:szCs w:val="18"/>
        </w:rPr>
        <w:t xml:space="preserve"> on line, sono conservati per tutto il tempo di durata dei rapporti contrattuali con il “Partner” che ha affidato l'incarico e successivamente cancellati entro il termine di 6 mesi dalla cessazione dei rapporti.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- partecipano ad attività ed eventi previsti</w:t>
      </w:r>
      <w:r>
        <w:rPr>
          <w:rFonts w:ascii="Arial" w:hAnsi="Arial" w:cs="Arial"/>
          <w:bCs/>
          <w:sz w:val="18"/>
          <w:szCs w:val="18"/>
        </w:rPr>
        <w:t xml:space="preserve"> nel "Progetto" sono conservati per il tempo necessario alla gestione della partecipazione dell’interessato e, per i sei mesi successivi.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I termini e i criteri di conservazione di cui sopra, possono subire delle proroghe/deroghe nel caso in cui la conserva</w:t>
      </w:r>
      <w:r>
        <w:rPr>
          <w:rFonts w:ascii="Arial" w:hAnsi="Arial" w:cs="Arial"/>
          <w:bCs/>
          <w:sz w:val="18"/>
          <w:szCs w:val="18"/>
        </w:rPr>
        <w:t>zione dei dati sia necessaria per scopi difensivi, nel caso in cui sia insorta una contestazione/controversia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I dati di cui al punto 7.b. (escluso il soft spam) e 7.c. sono conservati e trattati fino alla revoca del consenso.</w:t>
      </w:r>
    </w:p>
    <w:p w:rsidR="003016A1" w:rsidRDefault="003016A1">
      <w:pPr>
        <w:pStyle w:val="Standard"/>
        <w:rPr>
          <w:rFonts w:ascii="Arial" w:hAnsi="Arial" w:cs="Arial"/>
          <w:b/>
          <w:bCs/>
          <w:i/>
          <w:sz w:val="18"/>
          <w:szCs w:val="18"/>
        </w:rPr>
      </w:pP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 xml:space="preserve">9 </w:t>
      </w:r>
      <w:r>
        <w:rPr>
          <w:rFonts w:ascii="Arial" w:hAnsi="Arial" w:cs="Arial"/>
          <w:b/>
          <w:bCs/>
          <w:i/>
          <w:sz w:val="18"/>
          <w:szCs w:val="18"/>
        </w:rPr>
        <w:t>Facoltatività/obbligatorietà del conferimento dei dati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Il conferimento dei dati da parte degli interessati è necessario per consentire ai “Partner” di adempiere alle proprie obbligazioni contrattuali. L’eventuale rifiuto di fornire i dati, in tutto o in pa</w:t>
      </w:r>
      <w:r>
        <w:rPr>
          <w:rFonts w:ascii="Arial" w:hAnsi="Arial" w:cs="Arial"/>
          <w:bCs/>
          <w:sz w:val="18"/>
          <w:szCs w:val="18"/>
        </w:rPr>
        <w:t>rte, non permetterà a ciascun Partner di: (i) erogare i Servizi richiesti dagli interessati, (ii) rispondere ad eventuali richieste, (iii) di consentire l’acquisto e la relativa partecipazione all’evento e (iv) l'eventuale affidamento di incarichi.</w:t>
      </w:r>
    </w:p>
    <w:p w:rsidR="003016A1" w:rsidRDefault="003016A1">
      <w:pPr>
        <w:pStyle w:val="Standard"/>
        <w:rPr>
          <w:rFonts w:ascii="Arial" w:hAnsi="Arial" w:cs="Arial"/>
          <w:b/>
          <w:bCs/>
          <w:i/>
          <w:sz w:val="18"/>
          <w:szCs w:val="18"/>
        </w:rPr>
      </w:pP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10 Tra</w:t>
      </w:r>
      <w:r>
        <w:rPr>
          <w:rFonts w:ascii="Arial" w:hAnsi="Arial" w:cs="Arial"/>
          <w:b/>
          <w:bCs/>
          <w:i/>
          <w:sz w:val="18"/>
          <w:szCs w:val="18"/>
        </w:rPr>
        <w:t>sferimento dei dati all’estero (extra UE)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lastRenderedPageBreak/>
        <w:t>- Attualmente non è previsto trasferimento dei dati extra Ue per gli interessati che utilizzano e si registrano sui form on line, qualora dovesse verificarsi il trasferimento in paesi extra Ue, questo avverrà, in o</w:t>
      </w:r>
      <w:r>
        <w:rPr>
          <w:rFonts w:ascii="Arial" w:hAnsi="Arial" w:cs="Arial"/>
          <w:bCs/>
          <w:sz w:val="18"/>
          <w:szCs w:val="18"/>
        </w:rPr>
        <w:t>gni caso, previa verifica della conformità alle disposizioni contenute agli articoli 44 e ss. del GDPR e preventiva comunicazione relativamente al paese terzo di destinazione dei dati e al meccanismo di salvaguardia in base alle disposizioni del GDPR.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- Pe</w:t>
      </w:r>
      <w:r>
        <w:rPr>
          <w:rFonts w:ascii="Arial" w:hAnsi="Arial" w:cs="Arial"/>
          <w:bCs/>
          <w:sz w:val="18"/>
          <w:szCs w:val="18"/>
        </w:rPr>
        <w:t xml:space="preserve">r quanto riguarda i dati raccolti dalla Società per mezzo di fornitori esterni di servizi on line, i “Partner” potranno avvalersi anche di fornitori stabiliti negli Stati Uniti, comunque previa verifica della conformità del trattamento di dati da parte di </w:t>
      </w:r>
      <w:r>
        <w:rPr>
          <w:rFonts w:ascii="Arial" w:hAnsi="Arial" w:cs="Arial"/>
          <w:bCs/>
          <w:sz w:val="18"/>
          <w:szCs w:val="18"/>
        </w:rPr>
        <w:t>tali soggetti agli articoli 44 e ss. del GDPR.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11 Diritti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Gli interessati possono rivolgersi a ciascun “Partner” o ad eventuali responsabili esterni per esercitare i diritti previsti dalle Leggi Nazionali sulla Protezione dei Dati in quanto applicabili e d</w:t>
      </w:r>
      <w:r>
        <w:rPr>
          <w:rFonts w:ascii="Arial" w:hAnsi="Arial" w:cs="Arial"/>
          <w:bCs/>
          <w:sz w:val="18"/>
          <w:szCs w:val="18"/>
        </w:rPr>
        <w:t>al GDPR (articoli 15 e ss.), e, in particolare, per accedere ai propri dati personali, chiederne la rettifica e l’aggiornamento o la cancellazione, limitazioni, come pure richiederne la portabilità, inviando una comunicazione ai recapiti dei “Partner” sopr</w:t>
      </w:r>
      <w:r>
        <w:rPr>
          <w:rFonts w:ascii="Arial" w:hAnsi="Arial" w:cs="Arial"/>
          <w:bCs/>
          <w:sz w:val="18"/>
          <w:szCs w:val="18"/>
        </w:rPr>
        <w:t>a indicati.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12 Diritto di opposizione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 xml:space="preserve">Con le medesime modalità sopra previste, gli interessati possono opporsi, in tutto o in parte, al trattamento dei dati personali che li riguardano, ove la relativa base giuridica sia costituita dal legittimo interesse </w:t>
      </w:r>
      <w:r>
        <w:rPr>
          <w:rFonts w:ascii="Arial" w:hAnsi="Arial" w:cs="Arial"/>
          <w:bCs/>
          <w:sz w:val="18"/>
          <w:szCs w:val="18"/>
        </w:rPr>
        <w:t>dei “Partner”, ai sensi e per gli effetti di quanto previsto dall’articolo 21 del GDPR.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13 Reclamo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Ciascun soggetto interessato che ritenga che il trattamento dei dati che lo riguardano sia in violazione del GDPR, conformemente a quanto stabilito dall’arti</w:t>
      </w:r>
      <w:r>
        <w:rPr>
          <w:rFonts w:ascii="Arial" w:hAnsi="Arial" w:cs="Arial"/>
          <w:bCs/>
          <w:sz w:val="18"/>
          <w:szCs w:val="18"/>
        </w:rPr>
        <w:t>colo 77 del GDPR, può presentare reclamo a un’autorità di controllo in cui l’interessato risiede abitualmente o lavora ovvero ad un’autorità di controllo ove si è verificata la presunta violazione dei dati.</w:t>
      </w:r>
    </w:p>
    <w:p w:rsidR="003016A1" w:rsidRDefault="002D7F4F">
      <w:pPr>
        <w:pStyle w:val="Standard"/>
      </w:pPr>
      <w:r>
        <w:rPr>
          <w:rFonts w:ascii="Arial" w:hAnsi="Arial" w:cs="Arial"/>
          <w:b/>
          <w:bCs/>
          <w:i/>
          <w:sz w:val="18"/>
          <w:szCs w:val="18"/>
        </w:rPr>
        <w:t>14 Revoca del consenso</w:t>
      </w:r>
    </w:p>
    <w:p w:rsidR="003016A1" w:rsidRDefault="002D7F4F">
      <w:pPr>
        <w:pStyle w:val="Standard"/>
      </w:pPr>
      <w:r>
        <w:rPr>
          <w:rFonts w:ascii="Arial" w:hAnsi="Arial" w:cs="Arial"/>
          <w:bCs/>
          <w:sz w:val="18"/>
          <w:szCs w:val="18"/>
        </w:rPr>
        <w:t>L’esercizio dell’Opt-out (</w:t>
      </w:r>
      <w:r>
        <w:rPr>
          <w:rFonts w:ascii="Arial" w:hAnsi="Arial" w:cs="Arial"/>
          <w:bCs/>
          <w:sz w:val="18"/>
          <w:szCs w:val="18"/>
        </w:rPr>
        <w:t>revoca del consenso), da parte degli interessati, in merito all’uso dei relativi indirizzi di posta elettronica per l’invio di comunicazioni elettroniche, può avvenire in ogni momento dagli interessati e comporterà la cessazione dell’invio di qualsiasi com</w:t>
      </w:r>
      <w:r>
        <w:rPr>
          <w:rFonts w:ascii="Arial" w:hAnsi="Arial" w:cs="Arial"/>
          <w:bCs/>
          <w:sz w:val="18"/>
          <w:szCs w:val="18"/>
        </w:rPr>
        <w:t>unicazione.</w:t>
      </w:r>
    </w:p>
    <w:p w:rsidR="003016A1" w:rsidRDefault="003016A1">
      <w:pPr>
        <w:pStyle w:val="Standard"/>
        <w:rPr>
          <w:rFonts w:ascii="Arial" w:hAnsi="Arial" w:cs="Arial"/>
          <w:b/>
          <w:bCs/>
          <w:i/>
          <w:sz w:val="18"/>
          <w:szCs w:val="18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 w:val="18"/>
          <w:szCs w:val="18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 w:val="18"/>
          <w:szCs w:val="18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 w:val="18"/>
          <w:szCs w:val="18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 w:val="18"/>
          <w:szCs w:val="18"/>
        </w:rPr>
      </w:pPr>
    </w:p>
    <w:p w:rsidR="003016A1" w:rsidRDefault="002D7F4F">
      <w:pPr>
        <w:pStyle w:val="Standard"/>
        <w:spacing w:before="0"/>
      </w:pPr>
      <w:r>
        <w:rPr>
          <w:rFonts w:ascii="Arial" w:eastAsia="MS Mincho" w:hAnsi="Arial" w:cs="Arial"/>
          <w:bCs/>
          <w:i/>
          <w:sz w:val="18"/>
          <w:szCs w:val="18"/>
        </w:rPr>
        <w:t>Data ................................. Firma per presa visione ......................................................................</w:t>
      </w:r>
    </w:p>
    <w:p w:rsidR="003016A1" w:rsidRDefault="003016A1">
      <w:pPr>
        <w:pStyle w:val="Standard"/>
        <w:pageBreakBefore/>
        <w:spacing w:before="0" w:after="160" w:line="254" w:lineRule="auto"/>
        <w:jc w:val="center"/>
        <w:rPr>
          <w:rFonts w:ascii="Arial" w:eastAsia="MS Mincho" w:hAnsi="Arial" w:cs="Arial"/>
          <w:b/>
          <w:bCs/>
          <w:szCs w:val="20"/>
        </w:rPr>
      </w:pPr>
    </w:p>
    <w:p w:rsidR="003016A1" w:rsidRDefault="002D7F4F">
      <w:pPr>
        <w:pStyle w:val="Standard"/>
        <w:spacing w:before="0" w:after="160" w:line="254" w:lineRule="auto"/>
        <w:jc w:val="center"/>
      </w:pPr>
      <w:r>
        <w:rPr>
          <w:rFonts w:ascii="Arial" w:eastAsia="MS Mincho" w:hAnsi="Arial" w:cs="Arial"/>
          <w:b/>
          <w:bCs/>
          <w:szCs w:val="20"/>
        </w:rPr>
        <w:t>Autorizzazione relativa alle notifiche inerenti l’accesso agli atti</w:t>
      </w:r>
    </w:p>
    <w:p w:rsidR="003016A1" w:rsidRDefault="003016A1">
      <w:pPr>
        <w:pStyle w:val="Standard"/>
        <w:spacing w:before="0" w:after="160" w:line="254" w:lineRule="auto"/>
        <w:jc w:val="center"/>
        <w:rPr>
          <w:rFonts w:ascii="Arial" w:eastAsia="MS Mincho" w:hAnsi="Arial" w:cs="Arial"/>
          <w:color w:val="000000"/>
          <w:szCs w:val="20"/>
        </w:rPr>
      </w:pPr>
    </w:p>
    <w:p w:rsidR="003016A1" w:rsidRDefault="002D7F4F">
      <w:pPr>
        <w:pStyle w:val="Standard"/>
        <w:spacing w:before="0"/>
      </w:pPr>
      <w:r>
        <w:rPr>
          <w:rFonts w:ascii="Arial" w:eastAsia="MS Mincho" w:hAnsi="Arial" w:cs="Arial"/>
          <w:bCs/>
          <w:i/>
          <w:szCs w:val="20"/>
        </w:rPr>
        <w:t xml:space="preserve">L’articolo 3 del D.P.R. 184 del </w:t>
      </w:r>
      <w:r>
        <w:rPr>
          <w:rFonts w:ascii="Arial" w:eastAsia="MS Mincho" w:hAnsi="Arial" w:cs="Arial"/>
          <w:bCs/>
          <w:i/>
          <w:szCs w:val="20"/>
        </w:rPr>
        <w:t>2006 (Regolamento recante disciplina  in  materia di accesso ai documenti amministrativi) prevede che fermo quanto previsto dall'articolo 5 del Decreto, la pubblica amministrazione cui è indirizzata la richiesta di accesso, se individua soggetti controinte</w:t>
      </w:r>
      <w:r>
        <w:rPr>
          <w:rFonts w:ascii="Arial" w:eastAsia="MS Mincho" w:hAnsi="Arial" w:cs="Arial"/>
          <w:bCs/>
          <w:i/>
          <w:szCs w:val="20"/>
        </w:rPr>
        <w:t xml:space="preserve">ressati, di cui all'articolo 22, comma 1, lettera c), della legge 241 del 1990 ss.mm.ii., è tenuta a dare comunicazione agli stessi, mediante invio di copia con raccomandata con avviso di ricevimento, o per via telematica per coloro che abbiano consentito </w:t>
      </w:r>
      <w:r>
        <w:rPr>
          <w:rFonts w:ascii="Arial" w:eastAsia="MS Mincho" w:hAnsi="Arial" w:cs="Arial"/>
          <w:bCs/>
          <w:i/>
          <w:szCs w:val="20"/>
        </w:rPr>
        <w:t>tale forma di comunicazione. I soggetti controinteressati sono individuati tenuto anche conto del contenuto degli atti connessi, di cui all'articolo 7, comma 2 del Decreto.</w:t>
      </w: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2D7F4F">
      <w:pPr>
        <w:pStyle w:val="Standard"/>
        <w:spacing w:before="0"/>
      </w:pPr>
      <w:r>
        <w:rPr>
          <w:rFonts w:ascii="Arial" w:eastAsia="MS Mincho" w:hAnsi="Arial" w:cs="Arial"/>
          <w:bCs/>
          <w:i/>
          <w:szCs w:val="20"/>
        </w:rPr>
        <w:t xml:space="preserve">Pertanto ai sensi dell’articolo 3 del succitato D.P.R. 184 del 2006, nell’ipotesi </w:t>
      </w:r>
      <w:r>
        <w:rPr>
          <w:rFonts w:ascii="Arial" w:eastAsia="MS Mincho" w:hAnsi="Arial" w:cs="Arial"/>
          <w:bCs/>
          <w:i/>
          <w:szCs w:val="20"/>
        </w:rPr>
        <w:t>di eventuali istanze di accesso agli atti della presente procedura da parte di uno dei candidati, il sottoscritto presta il proprio consenso a che le notifiche ai controinteressati siano indirizzate al seguente indirizzo PEC:</w:t>
      </w: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2D7F4F">
      <w:pPr>
        <w:pStyle w:val="Standard"/>
        <w:spacing w:before="0"/>
      </w:pPr>
      <w:r>
        <w:rPr>
          <w:rFonts w:ascii="Arial" w:eastAsia="MS Mincho" w:hAnsi="Arial" w:cs="Arial"/>
          <w:bCs/>
          <w:i/>
          <w:szCs w:val="20"/>
        </w:rPr>
        <w:t xml:space="preserve"> ___________________________</w:t>
      </w:r>
      <w:r>
        <w:rPr>
          <w:rFonts w:ascii="Arial" w:eastAsia="MS Mincho" w:hAnsi="Arial" w:cs="Arial"/>
          <w:bCs/>
          <w:i/>
          <w:szCs w:val="20"/>
        </w:rPr>
        <w:t>________________</w:t>
      </w: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2D7F4F">
      <w:pPr>
        <w:pStyle w:val="Standard"/>
        <w:spacing w:before="0"/>
      </w:pPr>
      <w:r>
        <w:rPr>
          <w:rFonts w:ascii="Arial" w:eastAsia="MS Mincho" w:hAnsi="Arial" w:cs="Arial"/>
          <w:bCs/>
          <w:i/>
          <w:szCs w:val="20"/>
        </w:rPr>
        <w:t>In caso di mancato possesso di indirizzo PEC il sottoscritto presta il proprio consenso a che le notifiche ai controinteressati siano indirizzate al seguente indirizzo mail</w:t>
      </w: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2D7F4F">
      <w:pPr>
        <w:pStyle w:val="Standard"/>
        <w:spacing w:before="0"/>
      </w:pPr>
      <w:r>
        <w:rPr>
          <w:rFonts w:ascii="Arial" w:eastAsia="MS Mincho" w:hAnsi="Arial" w:cs="Arial"/>
          <w:bCs/>
          <w:i/>
          <w:szCs w:val="20"/>
        </w:rPr>
        <w:t>___________________________________________</w:t>
      </w: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2D7F4F">
      <w:pPr>
        <w:pStyle w:val="Standard"/>
        <w:spacing w:before="0"/>
      </w:pPr>
      <w:r>
        <w:rPr>
          <w:rFonts w:ascii="Arial" w:eastAsia="MS Mincho" w:hAnsi="Arial" w:cs="Arial"/>
          <w:bCs/>
          <w:i/>
          <w:szCs w:val="20"/>
        </w:rPr>
        <w:t>Luogo ........</w:t>
      </w:r>
      <w:r>
        <w:rPr>
          <w:rFonts w:ascii="Arial" w:eastAsia="MS Mincho" w:hAnsi="Arial" w:cs="Arial"/>
          <w:bCs/>
          <w:i/>
          <w:szCs w:val="20"/>
        </w:rPr>
        <w:t>......................... data .........................................</w:t>
      </w: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2D7F4F">
      <w:pPr>
        <w:pStyle w:val="Standard"/>
        <w:spacing w:before="0"/>
      </w:pPr>
      <w:r>
        <w:rPr>
          <w:rFonts w:ascii="Arial" w:eastAsia="MS Mincho" w:hAnsi="Arial" w:cs="Arial"/>
          <w:bCs/>
          <w:i/>
          <w:szCs w:val="20"/>
        </w:rPr>
        <w:t>Firma ....................................................................................</w:t>
      </w:r>
    </w:p>
    <w:p w:rsidR="003016A1" w:rsidRDefault="003016A1">
      <w:pPr>
        <w:pStyle w:val="Standard"/>
        <w:spacing w:before="0"/>
        <w:rPr>
          <w:rFonts w:ascii="Arial" w:eastAsia="MS Mincho" w:hAnsi="Arial" w:cs="Arial"/>
          <w:bCs/>
          <w:i/>
          <w:szCs w:val="20"/>
        </w:rPr>
      </w:pPr>
    </w:p>
    <w:p w:rsidR="003016A1" w:rsidRDefault="003016A1">
      <w:pPr>
        <w:pStyle w:val="Standard"/>
        <w:spacing w:before="0"/>
      </w:pPr>
    </w:p>
    <w:sectPr w:rsidR="003016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7F4F">
      <w:r>
        <w:separator/>
      </w:r>
    </w:p>
  </w:endnote>
  <w:endnote w:type="continuationSeparator" w:id="0">
    <w:p w:rsidR="00000000" w:rsidRDefault="002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Liberation Sans">
    <w:charset w:val="00"/>
    <w:family w:val="roman"/>
    <w:pitch w:val="variable"/>
  </w:font>
  <w:font w:name="MS Mincho">
    <w:altName w:val="ＭＳ 明朝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BE" w:rsidRDefault="002D7F4F">
    <w:pPr>
      <w:pStyle w:val="Standard"/>
      <w:tabs>
        <w:tab w:val="center" w:pos="4819"/>
        <w:tab w:val="right" w:pos="9638"/>
      </w:tabs>
      <w:spacing w:befor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2856960</wp:posOffset>
          </wp:positionH>
          <wp:positionV relativeFrom="paragraph">
            <wp:posOffset>123123</wp:posOffset>
          </wp:positionV>
          <wp:extent cx="882716" cy="480242"/>
          <wp:effectExtent l="0" t="0" r="0" b="0"/>
          <wp:wrapTopAndBottom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716" cy="4802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4636081</wp:posOffset>
          </wp:positionH>
          <wp:positionV relativeFrom="paragraph">
            <wp:posOffset>267836</wp:posOffset>
          </wp:positionV>
          <wp:extent cx="1784881" cy="186839"/>
          <wp:effectExtent l="0" t="0" r="5819" b="3661"/>
          <wp:wrapTopAndBottom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881" cy="1868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114482</wp:posOffset>
          </wp:positionH>
          <wp:positionV relativeFrom="paragraph">
            <wp:posOffset>162717</wp:posOffset>
          </wp:positionV>
          <wp:extent cx="929524" cy="290157"/>
          <wp:effectExtent l="0" t="0" r="3926" b="0"/>
          <wp:wrapTopAndBottom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524" cy="2901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3900958</wp:posOffset>
          </wp:positionH>
          <wp:positionV relativeFrom="paragraph">
            <wp:posOffset>135724</wp:posOffset>
          </wp:positionV>
          <wp:extent cx="550441" cy="457200"/>
          <wp:effectExtent l="0" t="0" r="2009" b="0"/>
          <wp:wrapTopAndBottom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441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1306796</wp:posOffset>
          </wp:positionH>
          <wp:positionV relativeFrom="paragraph">
            <wp:posOffset>213475</wp:posOffset>
          </wp:positionV>
          <wp:extent cx="1315803" cy="274320"/>
          <wp:effectExtent l="0" t="0" r="0" b="0"/>
          <wp:wrapTopAndBottom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803" cy="274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7F4F">
      <w:r>
        <w:rPr>
          <w:color w:val="000000"/>
        </w:rPr>
        <w:separator/>
      </w:r>
    </w:p>
  </w:footnote>
  <w:footnote w:type="continuationSeparator" w:id="0">
    <w:p w:rsidR="00000000" w:rsidRDefault="002D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BE" w:rsidRDefault="002D7F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016A1"/>
    <w:rsid w:val="002D7F4F"/>
    <w:rsid w:val="003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C402F-646A-437E-B7D0-8A59C0C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/>
      <w:jc w:val="both"/>
    </w:pPr>
    <w:rPr>
      <w:rFonts w:eastAsia="Times New Roman" w:cs="Times New Roman"/>
      <w:color w:val="00000A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spacing w:before="240" w:after="120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before="0"/>
    </w:p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rPr>
      <w:rFonts w:ascii="Calibri" w:eastAsia="Times New Roman" w:hAnsi="Calibri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ascii="Calibri" w:eastAsia="Times New Roman" w:hAnsi="Calibri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Dalla Cia</dc:creator>
  <cp:lastModifiedBy>Costia Patrizia</cp:lastModifiedBy>
  <cp:revision>2</cp:revision>
  <dcterms:created xsi:type="dcterms:W3CDTF">2021-03-19T12:03:00Z</dcterms:created>
  <dcterms:modified xsi:type="dcterms:W3CDTF">2021-03-19T12:03:00Z</dcterms:modified>
</cp:coreProperties>
</file>